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4825" w14:textId="41A45950" w:rsidR="00F62184" w:rsidRPr="008472F1" w:rsidRDefault="008F54E7" w:rsidP="008F54E7">
      <w:pPr>
        <w:rPr>
          <w:rFonts w:ascii="Times New Roman" w:eastAsia="ＭＳ 明朝" w:hAnsi="Times New Roman" w:cs="Times New Roman"/>
        </w:rPr>
      </w:pPr>
      <w:bookmarkStart w:id="0" w:name="_Hlk159245358"/>
      <w:bookmarkEnd w:id="0"/>
      <w:r w:rsidRPr="008472F1">
        <w:rPr>
          <w:rFonts w:ascii="Times New Roman" w:eastAsia="ＭＳ 明朝" w:hAnsi="Times New Roman" w:cs="Times New Roman" w:hint="eastAsia"/>
        </w:rPr>
        <w:t>論文本文中で割愛した事項</w:t>
      </w:r>
    </w:p>
    <w:p w14:paraId="09353959" w14:textId="77777777" w:rsidR="001359E5" w:rsidRPr="008472F1" w:rsidRDefault="001359E5" w:rsidP="00B15C14">
      <w:pPr>
        <w:rPr>
          <w:rFonts w:ascii="Times New Roman" w:eastAsia="ＭＳ 明朝" w:hAnsi="Times New Roman" w:cs="Times New Roman"/>
        </w:rPr>
      </w:pPr>
    </w:p>
    <w:p w14:paraId="1BFF50CD" w14:textId="4C44DF3E" w:rsidR="00F62184" w:rsidRPr="008472F1" w:rsidRDefault="00F62184" w:rsidP="00B15C14">
      <w:pPr>
        <w:rPr>
          <w:rFonts w:ascii="Times New Roman" w:eastAsia="ＭＳ 明朝" w:hAnsi="Times New Roman" w:cs="Times New Roman"/>
        </w:rPr>
      </w:pPr>
      <w:r w:rsidRPr="008472F1">
        <w:rPr>
          <w:rFonts w:ascii="Times New Roman" w:eastAsia="ＭＳ 明朝" w:hAnsi="Times New Roman" w:cs="Times New Roman"/>
        </w:rPr>
        <w:t>表</w:t>
      </w:r>
      <w:r w:rsidRPr="008472F1">
        <w:rPr>
          <w:rFonts w:ascii="Times New Roman" w:eastAsia="ＭＳ 明朝" w:hAnsi="Times New Roman" w:cs="Times New Roman"/>
        </w:rPr>
        <w:t>1</w:t>
      </w:r>
    </w:p>
    <w:p w14:paraId="250BF5EF" w14:textId="10C29207" w:rsidR="00F62184" w:rsidRPr="008472F1" w:rsidRDefault="00654F00" w:rsidP="00B15C14">
      <w:pPr>
        <w:rPr>
          <w:rFonts w:ascii="Times New Roman" w:eastAsia="ＭＳ 明朝" w:hAnsi="Times New Roman" w:cs="Times New Roman"/>
        </w:rPr>
      </w:pPr>
      <w:r w:rsidRPr="008472F1">
        <w:rPr>
          <w:rFonts w:ascii="Times New Roman" w:eastAsia="ＭＳ 明朝" w:hAnsi="Times New Roman" w:cs="Times New Roman"/>
        </w:rPr>
        <w:t>日常的な商品探索に関する質問項目および</w:t>
      </w:r>
      <w:r w:rsidR="00070490" w:rsidRPr="008472F1">
        <w:rPr>
          <w:rFonts w:ascii="Times New Roman" w:eastAsia="ＭＳ 明朝" w:hAnsi="Times New Roman" w:cs="Times New Roman"/>
        </w:rPr>
        <w:t>認知</w:t>
      </w:r>
      <w:r w:rsidR="003A4F4D">
        <w:rPr>
          <w:rFonts w:ascii="Times New Roman" w:eastAsia="ＭＳ 明朝" w:hAnsi="Times New Roman" w:cs="Times New Roman" w:hint="eastAsia"/>
        </w:rPr>
        <w:t>過程</w:t>
      </w:r>
      <w:r w:rsidR="00070490" w:rsidRPr="008472F1">
        <w:rPr>
          <w:rFonts w:ascii="Times New Roman" w:eastAsia="ＭＳ 明朝" w:hAnsi="Times New Roman" w:cs="Times New Roman"/>
        </w:rPr>
        <w:t>に関する</w:t>
      </w:r>
      <w:r w:rsidR="00D401D4">
        <w:rPr>
          <w:rFonts w:ascii="Times New Roman" w:eastAsia="ＭＳ 明朝" w:hAnsi="Times New Roman" w:cs="Times New Roman" w:hint="eastAsia"/>
        </w:rPr>
        <w:t>質問</w:t>
      </w:r>
      <w:r w:rsidR="00070490" w:rsidRPr="008472F1">
        <w:rPr>
          <w:rFonts w:ascii="Times New Roman" w:eastAsia="ＭＳ 明朝" w:hAnsi="Times New Roman" w:cs="Times New Roman"/>
        </w:rPr>
        <w:t>項目の記述統計</w:t>
      </w:r>
    </w:p>
    <w:p w14:paraId="66CAEFA8" w14:textId="5F8872BC" w:rsidR="00E259E0" w:rsidRPr="008472F1" w:rsidRDefault="00E54A15" w:rsidP="00A24772">
      <w:pPr>
        <w:jc w:val="center"/>
        <w:rPr>
          <w:rFonts w:ascii="Times New Roman" w:eastAsia="ＭＳ 明朝" w:hAnsi="Times New Roman" w:cs="Times New Roman"/>
        </w:rPr>
      </w:pPr>
      <w:r w:rsidRPr="008472F1">
        <w:rPr>
          <w:noProof/>
        </w:rPr>
        <w:drawing>
          <wp:inline distT="0" distB="0" distL="0" distR="0" wp14:anchorId="71AD1F74" wp14:editId="5FE4972D">
            <wp:extent cx="5400040" cy="2646680"/>
            <wp:effectExtent l="0" t="0" r="0" b="1270"/>
            <wp:docPr id="68024769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646680"/>
                    </a:xfrm>
                    <a:prstGeom prst="rect">
                      <a:avLst/>
                    </a:prstGeom>
                    <a:noFill/>
                    <a:ln>
                      <a:noFill/>
                    </a:ln>
                  </pic:spPr>
                </pic:pic>
              </a:graphicData>
            </a:graphic>
          </wp:inline>
        </w:drawing>
      </w:r>
    </w:p>
    <w:p w14:paraId="79D2A1D4" w14:textId="77777777" w:rsidR="00E259E0" w:rsidRPr="008472F1" w:rsidRDefault="00E259E0" w:rsidP="00B15C14">
      <w:pPr>
        <w:rPr>
          <w:rFonts w:ascii="Times New Roman" w:eastAsia="ＭＳ 明朝" w:hAnsi="Times New Roman" w:cs="Times New Roman"/>
        </w:rPr>
      </w:pPr>
    </w:p>
    <w:p w14:paraId="042B6BFE" w14:textId="38A8741B" w:rsidR="0030514E" w:rsidRPr="008472F1" w:rsidRDefault="008F54E7" w:rsidP="00B15C14">
      <w:pPr>
        <w:rPr>
          <w:rFonts w:ascii="Times New Roman" w:eastAsia="ＭＳ 明朝" w:hAnsi="Times New Roman" w:cs="Times New Roman"/>
        </w:rPr>
      </w:pPr>
      <w:r w:rsidRPr="008472F1">
        <w:rPr>
          <w:rFonts w:ascii="Times New Roman" w:eastAsia="ＭＳ 明朝" w:hAnsi="Times New Roman" w:cs="Times New Roman" w:hint="eastAsia"/>
        </w:rPr>
        <w:t>表</w:t>
      </w:r>
      <w:r w:rsidRPr="008472F1">
        <w:rPr>
          <w:rFonts w:ascii="Times New Roman" w:eastAsia="ＭＳ 明朝" w:hAnsi="Times New Roman" w:cs="Times New Roman" w:hint="eastAsia"/>
        </w:rPr>
        <w:t>2</w:t>
      </w:r>
    </w:p>
    <w:p w14:paraId="229DA3AC" w14:textId="20E64121" w:rsidR="00A24772" w:rsidRPr="008472F1" w:rsidRDefault="00A24772" w:rsidP="00B15C14">
      <w:pPr>
        <w:rPr>
          <w:rFonts w:ascii="Times New Roman" w:eastAsia="ＭＳ 明朝" w:hAnsi="Times New Roman" w:cs="Times New Roman"/>
        </w:rPr>
      </w:pPr>
      <w:r w:rsidRPr="008472F1">
        <w:rPr>
          <w:rFonts w:ascii="Times New Roman" w:eastAsia="ＭＳ 明朝" w:hAnsi="Times New Roman" w:cs="Times New Roman" w:hint="eastAsia"/>
        </w:rPr>
        <w:t>商品および年齢群別の商品親和性回答者数とサイン一致評定に関する記述統計</w:t>
      </w:r>
    </w:p>
    <w:p w14:paraId="636682E6" w14:textId="04E9B39F" w:rsidR="00A24772" w:rsidRPr="008472F1" w:rsidRDefault="00A24772" w:rsidP="00A24772">
      <w:pPr>
        <w:jc w:val="center"/>
        <w:rPr>
          <w:rFonts w:ascii="Times New Roman" w:eastAsia="ＭＳ 明朝" w:hAnsi="Times New Roman" w:cs="Times New Roman"/>
        </w:rPr>
      </w:pPr>
      <w:r w:rsidRPr="008472F1">
        <w:rPr>
          <w:noProof/>
        </w:rPr>
        <w:drawing>
          <wp:inline distT="0" distB="0" distL="0" distR="0" wp14:anchorId="149C810E" wp14:editId="2E243971">
            <wp:extent cx="5040000" cy="2337101"/>
            <wp:effectExtent l="0" t="0" r="8255"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2337101"/>
                    </a:xfrm>
                    <a:prstGeom prst="rect">
                      <a:avLst/>
                    </a:prstGeom>
                    <a:noFill/>
                    <a:ln>
                      <a:noFill/>
                    </a:ln>
                  </pic:spPr>
                </pic:pic>
              </a:graphicData>
            </a:graphic>
          </wp:inline>
        </w:drawing>
      </w:r>
    </w:p>
    <w:p w14:paraId="55CF7243" w14:textId="536FCD96" w:rsidR="008F54E7" w:rsidRDefault="00A24772" w:rsidP="000B48FC">
      <w:pPr>
        <w:rPr>
          <w:rFonts w:ascii="Times New Roman" w:eastAsia="ＭＳ 明朝" w:hAnsi="Times New Roman" w:cs="Times New Roman"/>
        </w:rPr>
      </w:pPr>
      <w:r w:rsidRPr="008472F1">
        <w:rPr>
          <w:rFonts w:ascii="Times New Roman" w:eastAsia="ＭＳ 明朝" w:hAnsi="Times New Roman" w:cs="Times New Roman" w:hint="eastAsia"/>
        </w:rPr>
        <w:t>注）</w:t>
      </w:r>
      <w:r w:rsidR="000B48FC" w:rsidRPr="008472F1">
        <w:rPr>
          <w:rFonts w:ascii="Times New Roman" w:eastAsia="ＭＳ 明朝" w:hAnsi="Times New Roman" w:cs="Times New Roman" w:hint="eastAsia"/>
        </w:rPr>
        <w:t>商品名とサインラベルとの一致不一致について</w:t>
      </w:r>
      <w:r w:rsidR="000B48FC" w:rsidRPr="008472F1">
        <w:rPr>
          <w:rFonts w:ascii="Times New Roman" w:eastAsia="ＭＳ 明朝" w:hAnsi="Times New Roman" w:cs="Times New Roman" w:hint="eastAsia"/>
        </w:rPr>
        <w:t>6</w:t>
      </w:r>
      <w:r w:rsidR="000B48FC" w:rsidRPr="008472F1">
        <w:rPr>
          <w:rFonts w:ascii="Times New Roman" w:eastAsia="ＭＳ 明朝" w:hAnsi="Times New Roman" w:cs="Times New Roman" w:hint="eastAsia"/>
        </w:rPr>
        <w:t>件法で尋ねた項目について，年齢群と商品の</w:t>
      </w:r>
      <w:r w:rsidR="000B48FC" w:rsidRPr="008472F1">
        <w:rPr>
          <w:rFonts w:ascii="Times New Roman" w:eastAsia="ＭＳ 明朝" w:hAnsi="Times New Roman" w:cs="Times New Roman" w:hint="eastAsia"/>
        </w:rPr>
        <w:t>2</w:t>
      </w:r>
      <w:r w:rsidR="000B48FC" w:rsidRPr="008472F1">
        <w:rPr>
          <w:rFonts w:ascii="Times New Roman" w:eastAsia="ＭＳ 明朝" w:hAnsi="Times New Roman" w:cs="Times New Roman" w:hint="eastAsia"/>
        </w:rPr>
        <w:t>要因分散分析を行った結果，年齢群の主効果は有意ではなかったが（</w:t>
      </w:r>
      <w:r w:rsidR="000B48FC" w:rsidRPr="008472F1">
        <w:rPr>
          <w:rFonts w:ascii="Times New Roman" w:eastAsia="ＭＳ 明朝" w:hAnsi="Times New Roman" w:cs="Times New Roman" w:hint="eastAsia"/>
          <w:i/>
          <w:iCs/>
        </w:rPr>
        <w:t>F</w:t>
      </w:r>
      <w:r w:rsidR="000B48FC" w:rsidRPr="008472F1">
        <w:rPr>
          <w:rFonts w:ascii="Times New Roman" w:eastAsia="ＭＳ 明朝" w:hAnsi="Times New Roman" w:cs="Times New Roman"/>
        </w:rPr>
        <w:t>(</w:t>
      </w:r>
      <w:r w:rsidR="000B48FC" w:rsidRPr="008472F1">
        <w:rPr>
          <w:rFonts w:ascii="Times New Roman" w:eastAsia="ＭＳ 明朝" w:hAnsi="Times New Roman" w:cs="Times New Roman" w:hint="eastAsia"/>
        </w:rPr>
        <w:t>1</w:t>
      </w:r>
      <w:r w:rsidR="000B48FC" w:rsidRPr="008472F1">
        <w:rPr>
          <w:rFonts w:ascii="Times New Roman" w:eastAsia="ＭＳ 明朝" w:hAnsi="Times New Roman" w:cs="Times New Roman"/>
        </w:rPr>
        <w:t xml:space="preserve">, </w:t>
      </w:r>
      <w:r w:rsidR="000B48FC" w:rsidRPr="008472F1">
        <w:rPr>
          <w:rFonts w:ascii="Times New Roman" w:eastAsia="ＭＳ 明朝" w:hAnsi="Times New Roman" w:cs="Times New Roman" w:hint="eastAsia"/>
        </w:rPr>
        <w:t>58</w:t>
      </w:r>
      <w:r w:rsidR="000B48FC" w:rsidRPr="008472F1">
        <w:rPr>
          <w:rFonts w:ascii="Times New Roman" w:eastAsia="ＭＳ 明朝" w:hAnsi="Times New Roman" w:cs="Times New Roman"/>
        </w:rPr>
        <w:t xml:space="preserve">) = </w:t>
      </w:r>
      <w:r w:rsidR="000B48FC" w:rsidRPr="008472F1">
        <w:rPr>
          <w:rFonts w:ascii="Times New Roman" w:eastAsia="ＭＳ 明朝" w:hAnsi="Times New Roman" w:cs="Times New Roman" w:hint="eastAsia"/>
        </w:rPr>
        <w:t>0.340</w:t>
      </w:r>
      <w:r w:rsidR="000B48FC" w:rsidRPr="008472F1">
        <w:rPr>
          <w:rFonts w:ascii="Times New Roman" w:eastAsia="ＭＳ 明朝" w:hAnsi="Times New Roman" w:cs="Times New Roman"/>
        </w:rPr>
        <w:t xml:space="preserve">, </w:t>
      </w:r>
      <w:r w:rsidR="000B48FC" w:rsidRPr="008472F1">
        <w:rPr>
          <w:rFonts w:ascii="Times New Roman" w:eastAsia="ＭＳ 明朝" w:hAnsi="Times New Roman" w:cs="Times New Roman"/>
          <w:i/>
          <w:iCs/>
        </w:rPr>
        <w:t>p</w:t>
      </w:r>
      <w:r w:rsidR="000B48FC" w:rsidRPr="008472F1">
        <w:rPr>
          <w:rFonts w:ascii="Times New Roman" w:eastAsia="ＭＳ 明朝" w:hAnsi="Times New Roman" w:cs="Times New Roman"/>
        </w:rPr>
        <w:t xml:space="preserve"> </w:t>
      </w:r>
      <w:r w:rsidR="000B48FC" w:rsidRPr="008472F1">
        <w:rPr>
          <w:rFonts w:ascii="Times New Roman" w:eastAsia="ＭＳ 明朝" w:hAnsi="Times New Roman" w:cs="Times New Roman" w:hint="eastAsia"/>
        </w:rPr>
        <w:t>=</w:t>
      </w:r>
      <w:r w:rsidR="000B48FC" w:rsidRPr="008472F1">
        <w:rPr>
          <w:rFonts w:ascii="Times New Roman" w:eastAsia="ＭＳ 明朝" w:hAnsi="Times New Roman" w:cs="Times New Roman"/>
        </w:rPr>
        <w:t xml:space="preserve"> .</w:t>
      </w:r>
      <w:r w:rsidR="000B48FC" w:rsidRPr="008472F1">
        <w:rPr>
          <w:rFonts w:ascii="Times New Roman" w:eastAsia="ＭＳ 明朝" w:hAnsi="Times New Roman" w:cs="Times New Roman" w:hint="eastAsia"/>
        </w:rPr>
        <w:t>562</w:t>
      </w:r>
      <w:r w:rsidR="000B48FC" w:rsidRPr="008472F1">
        <w:rPr>
          <w:rFonts w:ascii="Times New Roman" w:eastAsia="ＭＳ 明朝" w:hAnsi="Times New Roman" w:cs="Times New Roman"/>
        </w:rPr>
        <w:t xml:space="preserve">, </w:t>
      </w:r>
      <w:r w:rsidR="000B48FC" w:rsidRPr="008472F1">
        <w:rPr>
          <w:rFonts w:ascii="Times New Roman" w:eastAsia="ＭＳ 明朝" w:hAnsi="Times New Roman" w:cs="Times New Roman"/>
          <w:i/>
          <w:iCs/>
        </w:rPr>
        <w:t>η</w:t>
      </w:r>
      <w:r w:rsidR="000B48FC" w:rsidRPr="008472F1">
        <w:rPr>
          <w:rFonts w:ascii="Times New Roman" w:eastAsia="ＭＳ 明朝" w:hAnsi="Times New Roman" w:cs="Times New Roman" w:hint="eastAsia"/>
          <w:vertAlign w:val="superscript"/>
        </w:rPr>
        <w:t>2</w:t>
      </w:r>
      <w:r w:rsidR="000B48FC" w:rsidRPr="008472F1">
        <w:rPr>
          <w:rFonts w:ascii="Times New Roman" w:eastAsia="ＭＳ 明朝" w:hAnsi="Times New Roman" w:cs="Times New Roman"/>
        </w:rPr>
        <w:t xml:space="preserve"> = .</w:t>
      </w:r>
      <w:r w:rsidR="000B48FC" w:rsidRPr="008472F1">
        <w:rPr>
          <w:rFonts w:ascii="Times New Roman" w:eastAsia="ＭＳ 明朝" w:hAnsi="Times New Roman" w:cs="Times New Roman" w:hint="eastAsia"/>
        </w:rPr>
        <w:t>002</w:t>
      </w:r>
      <w:r w:rsidR="000B48FC" w:rsidRPr="008472F1">
        <w:rPr>
          <w:rFonts w:ascii="Times New Roman" w:eastAsia="ＭＳ 明朝" w:hAnsi="Times New Roman" w:cs="Times New Roman" w:hint="eastAsia"/>
        </w:rPr>
        <w:t>），商品の主効果が有意であり（</w:t>
      </w:r>
      <w:r w:rsidR="000B48FC" w:rsidRPr="008472F1">
        <w:rPr>
          <w:rFonts w:ascii="Times New Roman" w:eastAsia="ＭＳ 明朝" w:hAnsi="Times New Roman" w:cs="Times New Roman" w:hint="eastAsia"/>
          <w:i/>
          <w:iCs/>
        </w:rPr>
        <w:t>F</w:t>
      </w:r>
      <w:r w:rsidR="000B48FC" w:rsidRPr="008472F1">
        <w:rPr>
          <w:rFonts w:ascii="Times New Roman" w:eastAsia="ＭＳ 明朝" w:hAnsi="Times New Roman" w:cs="Times New Roman"/>
        </w:rPr>
        <w:t xml:space="preserve">(3, 174) = 39.627, </w:t>
      </w:r>
      <w:r w:rsidR="000B48FC" w:rsidRPr="008472F1">
        <w:rPr>
          <w:rFonts w:ascii="Times New Roman" w:eastAsia="ＭＳ 明朝" w:hAnsi="Times New Roman" w:cs="Times New Roman"/>
          <w:i/>
          <w:iCs/>
        </w:rPr>
        <w:t>p</w:t>
      </w:r>
      <w:r w:rsidR="000B48FC" w:rsidRPr="008472F1">
        <w:rPr>
          <w:rFonts w:ascii="Times New Roman" w:eastAsia="ＭＳ 明朝" w:hAnsi="Times New Roman" w:cs="Times New Roman"/>
        </w:rPr>
        <w:t xml:space="preserve"> &lt; .001, </w:t>
      </w:r>
      <w:r w:rsidR="000B48FC" w:rsidRPr="008472F1">
        <w:rPr>
          <w:rFonts w:ascii="Times New Roman" w:eastAsia="ＭＳ 明朝" w:hAnsi="Times New Roman" w:cs="Times New Roman"/>
          <w:i/>
          <w:iCs/>
        </w:rPr>
        <w:t>η</w:t>
      </w:r>
      <w:r w:rsidR="000B48FC" w:rsidRPr="008472F1">
        <w:rPr>
          <w:rFonts w:ascii="Times New Roman" w:eastAsia="ＭＳ 明朝" w:hAnsi="Times New Roman" w:cs="Times New Roman" w:hint="eastAsia"/>
          <w:vertAlign w:val="superscript"/>
        </w:rPr>
        <w:t>2</w:t>
      </w:r>
      <w:r w:rsidR="000B48FC" w:rsidRPr="008472F1">
        <w:rPr>
          <w:rFonts w:ascii="Times New Roman" w:eastAsia="ＭＳ 明朝" w:hAnsi="Times New Roman" w:cs="Times New Roman"/>
        </w:rPr>
        <w:t xml:space="preserve"> = .259</w:t>
      </w:r>
      <w:r w:rsidR="000B48FC" w:rsidRPr="008472F1">
        <w:rPr>
          <w:rFonts w:ascii="Times New Roman" w:eastAsia="ＭＳ 明朝" w:hAnsi="Times New Roman" w:cs="Times New Roman" w:hint="eastAsia"/>
        </w:rPr>
        <w:t>），セルベール，温泡，ウナクール，ヘパリーゼの順に一致度が高いことが分かった．年齢群と商品の交互作用も有意であり（</w:t>
      </w:r>
      <w:r w:rsidR="000B48FC" w:rsidRPr="008472F1">
        <w:rPr>
          <w:rFonts w:ascii="Times New Roman" w:eastAsia="ＭＳ 明朝" w:hAnsi="Times New Roman" w:cs="Times New Roman" w:hint="eastAsia"/>
          <w:i/>
          <w:iCs/>
        </w:rPr>
        <w:t>F</w:t>
      </w:r>
      <w:r w:rsidR="000B48FC" w:rsidRPr="008472F1">
        <w:rPr>
          <w:rFonts w:ascii="Times New Roman" w:eastAsia="ＭＳ 明朝" w:hAnsi="Times New Roman" w:cs="Times New Roman"/>
        </w:rPr>
        <w:t xml:space="preserve">(3, 174) = 3.926, </w:t>
      </w:r>
      <w:r w:rsidR="000B48FC" w:rsidRPr="008472F1">
        <w:rPr>
          <w:rFonts w:ascii="Times New Roman" w:eastAsia="ＭＳ 明朝" w:hAnsi="Times New Roman" w:cs="Times New Roman"/>
          <w:i/>
          <w:iCs/>
        </w:rPr>
        <w:t>p</w:t>
      </w:r>
      <w:r w:rsidR="000B48FC" w:rsidRPr="008472F1">
        <w:rPr>
          <w:rFonts w:ascii="Times New Roman" w:eastAsia="ＭＳ 明朝" w:hAnsi="Times New Roman" w:cs="Times New Roman"/>
        </w:rPr>
        <w:t xml:space="preserve"> = .010, </w:t>
      </w:r>
      <w:r w:rsidR="000B48FC" w:rsidRPr="008472F1">
        <w:rPr>
          <w:rFonts w:ascii="Times New Roman" w:eastAsia="ＭＳ 明朝" w:hAnsi="Times New Roman" w:cs="Times New Roman"/>
          <w:i/>
          <w:iCs/>
        </w:rPr>
        <w:t>η</w:t>
      </w:r>
      <w:r w:rsidR="000B48FC" w:rsidRPr="008472F1">
        <w:rPr>
          <w:rFonts w:ascii="Times New Roman" w:eastAsia="ＭＳ 明朝" w:hAnsi="Times New Roman" w:cs="Times New Roman" w:hint="eastAsia"/>
          <w:vertAlign w:val="superscript"/>
        </w:rPr>
        <w:t>2</w:t>
      </w:r>
      <w:r w:rsidR="000B48FC" w:rsidRPr="008472F1">
        <w:rPr>
          <w:rFonts w:ascii="Times New Roman" w:eastAsia="ＭＳ 明朝" w:hAnsi="Times New Roman" w:cs="Times New Roman"/>
        </w:rPr>
        <w:t xml:space="preserve"> = .026</w:t>
      </w:r>
      <w:r w:rsidR="000B48FC" w:rsidRPr="008472F1">
        <w:rPr>
          <w:rFonts w:ascii="Times New Roman" w:eastAsia="ＭＳ 明朝" w:hAnsi="Times New Roman" w:cs="Times New Roman" w:hint="eastAsia"/>
        </w:rPr>
        <w:t>），年齢群別に検討すると，若年者群では，セルベールと温泡の一致度が高く，ウナクールとヘパリーゼの一致度が低いと</w:t>
      </w:r>
      <w:r w:rsidR="000B48FC" w:rsidRPr="008472F1">
        <w:rPr>
          <w:rFonts w:ascii="Times New Roman" w:eastAsia="ＭＳ 明朝" w:hAnsi="Times New Roman" w:cs="Times New Roman" w:hint="eastAsia"/>
        </w:rPr>
        <w:lastRenderedPageBreak/>
        <w:t>いう傾向が確認され，高齢者群では，セルベールと温泡の一致度が高く，ヘパリーゼは一致度が低い傾向が確認された（</w:t>
      </w:r>
      <w:r w:rsidR="000B48FC" w:rsidRPr="008472F1">
        <w:rPr>
          <w:rFonts w:ascii="Times New Roman" w:eastAsia="ＭＳ 明朝" w:hAnsi="Times New Roman" w:cs="Times New Roman" w:hint="eastAsia"/>
          <w:i/>
          <w:iCs/>
        </w:rPr>
        <w:t>p</w:t>
      </w:r>
      <w:r w:rsidR="000B48FC" w:rsidRPr="008472F1">
        <w:rPr>
          <w:rFonts w:ascii="Times New Roman" w:eastAsia="ＭＳ 明朝" w:hAnsi="Times New Roman" w:cs="Times New Roman" w:hint="eastAsia"/>
        </w:rPr>
        <w:t>s</w:t>
      </w:r>
      <w:r w:rsidR="000B48FC" w:rsidRPr="008472F1">
        <w:rPr>
          <w:rFonts w:ascii="Times New Roman" w:eastAsia="ＭＳ 明朝" w:hAnsi="Times New Roman" w:cs="Times New Roman"/>
        </w:rPr>
        <w:t xml:space="preserve"> </w:t>
      </w:r>
      <w:r w:rsidR="000B48FC" w:rsidRPr="008472F1">
        <w:rPr>
          <w:rFonts w:ascii="Times New Roman" w:eastAsia="ＭＳ 明朝" w:hAnsi="Times New Roman" w:cs="Times New Roman" w:hint="eastAsia"/>
        </w:rPr>
        <w:t>&lt;</w:t>
      </w:r>
      <w:r w:rsidR="000B48FC" w:rsidRPr="008472F1">
        <w:rPr>
          <w:rFonts w:ascii="Times New Roman" w:eastAsia="ＭＳ 明朝" w:hAnsi="Times New Roman" w:cs="Times New Roman"/>
        </w:rPr>
        <w:t xml:space="preserve"> .0</w:t>
      </w:r>
      <w:r w:rsidR="000B48FC" w:rsidRPr="008472F1">
        <w:rPr>
          <w:rFonts w:ascii="Times New Roman" w:eastAsia="ＭＳ 明朝" w:hAnsi="Times New Roman" w:cs="Times New Roman" w:hint="eastAsia"/>
        </w:rPr>
        <w:t>01</w:t>
      </w:r>
      <w:r w:rsidR="000B48FC" w:rsidRPr="008472F1">
        <w:rPr>
          <w:rFonts w:ascii="Times New Roman" w:eastAsia="ＭＳ 明朝" w:hAnsi="Times New Roman" w:cs="Times New Roman" w:hint="eastAsia"/>
        </w:rPr>
        <w:t>）．</w:t>
      </w:r>
    </w:p>
    <w:p w14:paraId="75EB9FF3" w14:textId="16CB3798" w:rsidR="00A42E76" w:rsidRPr="00B15C14" w:rsidRDefault="00A42E76" w:rsidP="000B48FC">
      <w:pPr>
        <w:rPr>
          <w:rFonts w:ascii="Times New Roman" w:eastAsia="ＭＳ 明朝" w:hAnsi="Times New Roman" w:cs="Times New Roman"/>
        </w:rPr>
      </w:pPr>
    </w:p>
    <w:sectPr w:rsidR="00A42E76" w:rsidRPr="00B15C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904F" w14:textId="77777777" w:rsidR="0004050C" w:rsidRDefault="0004050C" w:rsidP="00415F73">
      <w:r>
        <w:separator/>
      </w:r>
    </w:p>
  </w:endnote>
  <w:endnote w:type="continuationSeparator" w:id="0">
    <w:p w14:paraId="6C94E17D" w14:textId="77777777" w:rsidR="0004050C" w:rsidRDefault="0004050C" w:rsidP="0041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2FD05" w14:textId="77777777" w:rsidR="0004050C" w:rsidRDefault="0004050C" w:rsidP="00415F73">
      <w:r>
        <w:separator/>
      </w:r>
    </w:p>
  </w:footnote>
  <w:footnote w:type="continuationSeparator" w:id="0">
    <w:p w14:paraId="7BD29E43" w14:textId="77777777" w:rsidR="0004050C" w:rsidRDefault="0004050C" w:rsidP="0041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E34C7"/>
    <w:multiLevelType w:val="hybridMultilevel"/>
    <w:tmpl w:val="C5D2BC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0E0499"/>
    <w:multiLevelType w:val="hybridMultilevel"/>
    <w:tmpl w:val="70A84F48"/>
    <w:lvl w:ilvl="0" w:tplc="38D01628">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1045906">
    <w:abstractNumId w:val="1"/>
  </w:num>
  <w:num w:numId="2" w16cid:durableId="188167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E0"/>
    <w:rsid w:val="0004050C"/>
    <w:rsid w:val="00061542"/>
    <w:rsid w:val="00070490"/>
    <w:rsid w:val="00097402"/>
    <w:rsid w:val="000B48FC"/>
    <w:rsid w:val="001359E5"/>
    <w:rsid w:val="00193282"/>
    <w:rsid w:val="00195268"/>
    <w:rsid w:val="00225FDC"/>
    <w:rsid w:val="00264297"/>
    <w:rsid w:val="002838C5"/>
    <w:rsid w:val="002C378F"/>
    <w:rsid w:val="002D45EB"/>
    <w:rsid w:val="002E62A3"/>
    <w:rsid w:val="0030514E"/>
    <w:rsid w:val="00351B98"/>
    <w:rsid w:val="003617F8"/>
    <w:rsid w:val="00364C61"/>
    <w:rsid w:val="003953BD"/>
    <w:rsid w:val="003A4F4D"/>
    <w:rsid w:val="00415F73"/>
    <w:rsid w:val="004E7F4C"/>
    <w:rsid w:val="005245C9"/>
    <w:rsid w:val="00593F25"/>
    <w:rsid w:val="005E7F5E"/>
    <w:rsid w:val="00654F00"/>
    <w:rsid w:val="0082007C"/>
    <w:rsid w:val="008472F1"/>
    <w:rsid w:val="0087735C"/>
    <w:rsid w:val="008F54E7"/>
    <w:rsid w:val="009855FA"/>
    <w:rsid w:val="009F1EA1"/>
    <w:rsid w:val="00A24772"/>
    <w:rsid w:val="00A42E76"/>
    <w:rsid w:val="00A54522"/>
    <w:rsid w:val="00B15C14"/>
    <w:rsid w:val="00B64586"/>
    <w:rsid w:val="00C0109D"/>
    <w:rsid w:val="00C83805"/>
    <w:rsid w:val="00CC2E03"/>
    <w:rsid w:val="00CF52CD"/>
    <w:rsid w:val="00D10A79"/>
    <w:rsid w:val="00D401D4"/>
    <w:rsid w:val="00D429A6"/>
    <w:rsid w:val="00D93334"/>
    <w:rsid w:val="00E048D3"/>
    <w:rsid w:val="00E259E0"/>
    <w:rsid w:val="00E54A15"/>
    <w:rsid w:val="00E71595"/>
    <w:rsid w:val="00EA43A5"/>
    <w:rsid w:val="00F62184"/>
    <w:rsid w:val="00F94A30"/>
    <w:rsid w:val="00FD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03A43"/>
  <w15:chartTrackingRefBased/>
  <w15:docId w15:val="{1852FD2B-C013-4E77-90EE-F01E96DF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59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59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59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259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59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59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59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59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59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59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59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59E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259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59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59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59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59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59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59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59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9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59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9E0"/>
    <w:pPr>
      <w:spacing w:before="160" w:after="160"/>
      <w:jc w:val="center"/>
    </w:pPr>
    <w:rPr>
      <w:i/>
      <w:iCs/>
      <w:color w:val="404040" w:themeColor="text1" w:themeTint="BF"/>
    </w:rPr>
  </w:style>
  <w:style w:type="character" w:customStyle="1" w:styleId="a8">
    <w:name w:val="引用文 (文字)"/>
    <w:basedOn w:val="a0"/>
    <w:link w:val="a7"/>
    <w:uiPriority w:val="29"/>
    <w:rsid w:val="00E259E0"/>
    <w:rPr>
      <w:i/>
      <w:iCs/>
      <w:color w:val="404040" w:themeColor="text1" w:themeTint="BF"/>
    </w:rPr>
  </w:style>
  <w:style w:type="paragraph" w:styleId="a9">
    <w:name w:val="List Paragraph"/>
    <w:basedOn w:val="a"/>
    <w:uiPriority w:val="34"/>
    <w:qFormat/>
    <w:rsid w:val="00E259E0"/>
    <w:pPr>
      <w:ind w:left="720"/>
      <w:contextualSpacing/>
    </w:pPr>
  </w:style>
  <w:style w:type="character" w:styleId="21">
    <w:name w:val="Intense Emphasis"/>
    <w:basedOn w:val="a0"/>
    <w:uiPriority w:val="21"/>
    <w:qFormat/>
    <w:rsid w:val="00E259E0"/>
    <w:rPr>
      <w:i/>
      <w:iCs/>
      <w:color w:val="0F4761" w:themeColor="accent1" w:themeShade="BF"/>
    </w:rPr>
  </w:style>
  <w:style w:type="paragraph" w:styleId="22">
    <w:name w:val="Intense Quote"/>
    <w:basedOn w:val="a"/>
    <w:next w:val="a"/>
    <w:link w:val="23"/>
    <w:uiPriority w:val="30"/>
    <w:qFormat/>
    <w:rsid w:val="00E25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59E0"/>
    <w:rPr>
      <w:i/>
      <w:iCs/>
      <w:color w:val="0F4761" w:themeColor="accent1" w:themeShade="BF"/>
    </w:rPr>
  </w:style>
  <w:style w:type="character" w:styleId="24">
    <w:name w:val="Intense Reference"/>
    <w:basedOn w:val="a0"/>
    <w:uiPriority w:val="32"/>
    <w:qFormat/>
    <w:rsid w:val="00E259E0"/>
    <w:rPr>
      <w:b/>
      <w:bCs/>
      <w:smallCaps/>
      <w:color w:val="0F4761" w:themeColor="accent1" w:themeShade="BF"/>
      <w:spacing w:val="5"/>
    </w:rPr>
  </w:style>
  <w:style w:type="table" w:styleId="aa">
    <w:name w:val="Table Grid"/>
    <w:basedOn w:val="a1"/>
    <w:uiPriority w:val="39"/>
    <w:rsid w:val="00F94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E62A3"/>
    <w:rPr>
      <w:sz w:val="18"/>
      <w:szCs w:val="18"/>
    </w:rPr>
  </w:style>
  <w:style w:type="paragraph" w:styleId="ac">
    <w:name w:val="annotation text"/>
    <w:basedOn w:val="a"/>
    <w:link w:val="ad"/>
    <w:uiPriority w:val="99"/>
    <w:unhideWhenUsed/>
    <w:rsid w:val="002E62A3"/>
    <w:pPr>
      <w:jc w:val="left"/>
    </w:pPr>
  </w:style>
  <w:style w:type="character" w:customStyle="1" w:styleId="ad">
    <w:name w:val="コメント文字列 (文字)"/>
    <w:basedOn w:val="a0"/>
    <w:link w:val="ac"/>
    <w:uiPriority w:val="99"/>
    <w:rsid w:val="002E62A3"/>
  </w:style>
  <w:style w:type="paragraph" w:styleId="ae">
    <w:name w:val="annotation subject"/>
    <w:basedOn w:val="ac"/>
    <w:next w:val="ac"/>
    <w:link w:val="af"/>
    <w:uiPriority w:val="99"/>
    <w:semiHidden/>
    <w:unhideWhenUsed/>
    <w:rsid w:val="002E62A3"/>
    <w:rPr>
      <w:b/>
      <w:bCs/>
    </w:rPr>
  </w:style>
  <w:style w:type="character" w:customStyle="1" w:styleId="af">
    <w:name w:val="コメント内容 (文字)"/>
    <w:basedOn w:val="ad"/>
    <w:link w:val="ae"/>
    <w:uiPriority w:val="99"/>
    <w:semiHidden/>
    <w:rsid w:val="002E62A3"/>
    <w:rPr>
      <w:b/>
      <w:bCs/>
    </w:rPr>
  </w:style>
  <w:style w:type="paragraph" w:styleId="af0">
    <w:name w:val="header"/>
    <w:basedOn w:val="a"/>
    <w:link w:val="af1"/>
    <w:uiPriority w:val="99"/>
    <w:unhideWhenUsed/>
    <w:rsid w:val="00415F73"/>
    <w:pPr>
      <w:tabs>
        <w:tab w:val="center" w:pos="4252"/>
        <w:tab w:val="right" w:pos="8504"/>
      </w:tabs>
      <w:snapToGrid w:val="0"/>
    </w:pPr>
  </w:style>
  <w:style w:type="character" w:customStyle="1" w:styleId="af1">
    <w:name w:val="ヘッダー (文字)"/>
    <w:basedOn w:val="a0"/>
    <w:link w:val="af0"/>
    <w:uiPriority w:val="99"/>
    <w:rsid w:val="00415F73"/>
  </w:style>
  <w:style w:type="paragraph" w:styleId="af2">
    <w:name w:val="footer"/>
    <w:basedOn w:val="a"/>
    <w:link w:val="af3"/>
    <w:uiPriority w:val="99"/>
    <w:unhideWhenUsed/>
    <w:rsid w:val="00415F73"/>
    <w:pPr>
      <w:tabs>
        <w:tab w:val="center" w:pos="4252"/>
        <w:tab w:val="right" w:pos="8504"/>
      </w:tabs>
      <w:snapToGrid w:val="0"/>
    </w:pPr>
  </w:style>
  <w:style w:type="character" w:customStyle="1" w:styleId="af3">
    <w:name w:val="フッター (文字)"/>
    <w:basedOn w:val="a0"/>
    <w:link w:val="af2"/>
    <w:uiPriority w:val="99"/>
    <w:rsid w:val="00415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50397">
      <w:bodyDiv w:val="1"/>
      <w:marLeft w:val="0"/>
      <w:marRight w:val="0"/>
      <w:marTop w:val="0"/>
      <w:marBottom w:val="0"/>
      <w:divBdr>
        <w:top w:val="none" w:sz="0" w:space="0" w:color="auto"/>
        <w:left w:val="none" w:sz="0" w:space="0" w:color="auto"/>
        <w:bottom w:val="none" w:sz="0" w:space="0" w:color="auto"/>
        <w:right w:val="none" w:sz="0" w:space="0" w:color="auto"/>
      </w:divBdr>
    </w:div>
    <w:div w:id="538326387">
      <w:bodyDiv w:val="1"/>
      <w:marLeft w:val="0"/>
      <w:marRight w:val="0"/>
      <w:marTop w:val="0"/>
      <w:marBottom w:val="0"/>
      <w:divBdr>
        <w:top w:val="none" w:sz="0" w:space="0" w:color="auto"/>
        <w:left w:val="none" w:sz="0" w:space="0" w:color="auto"/>
        <w:bottom w:val="none" w:sz="0" w:space="0" w:color="auto"/>
        <w:right w:val="none" w:sz="0" w:space="0" w:color="auto"/>
      </w:divBdr>
    </w:div>
    <w:div w:id="1262489449">
      <w:bodyDiv w:val="1"/>
      <w:marLeft w:val="0"/>
      <w:marRight w:val="0"/>
      <w:marTop w:val="0"/>
      <w:marBottom w:val="0"/>
      <w:divBdr>
        <w:top w:val="none" w:sz="0" w:space="0" w:color="auto"/>
        <w:left w:val="none" w:sz="0" w:space="0" w:color="auto"/>
        <w:bottom w:val="none" w:sz="0" w:space="0" w:color="auto"/>
        <w:right w:val="none" w:sz="0" w:space="0" w:color="auto"/>
      </w:divBdr>
    </w:div>
    <w:div w:id="1699626298">
      <w:bodyDiv w:val="1"/>
      <w:marLeft w:val="0"/>
      <w:marRight w:val="0"/>
      <w:marTop w:val="0"/>
      <w:marBottom w:val="0"/>
      <w:divBdr>
        <w:top w:val="none" w:sz="0" w:space="0" w:color="auto"/>
        <w:left w:val="none" w:sz="0" w:space="0" w:color="auto"/>
        <w:bottom w:val="none" w:sz="0" w:space="0" w:color="auto"/>
        <w:right w:val="none" w:sz="0" w:space="0" w:color="auto"/>
      </w:divBdr>
    </w:div>
    <w:div w:id="170552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岩根榛花</dc:creator>
  <cp:keywords/>
  <dc:description/>
  <cp:lastModifiedBy>岩根榛花</cp:lastModifiedBy>
  <cp:revision>47</cp:revision>
  <dcterms:created xsi:type="dcterms:W3CDTF">2024-02-08T02:09:00Z</dcterms:created>
  <dcterms:modified xsi:type="dcterms:W3CDTF">2024-02-19T05:50:00Z</dcterms:modified>
</cp:coreProperties>
</file>